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F8" w:rsidRPr="00154493" w:rsidRDefault="001C17C6" w:rsidP="001C17C6">
      <w:pPr>
        <w:pStyle w:val="Titel"/>
        <w:rPr>
          <w:sz w:val="36"/>
          <w:szCs w:val="36"/>
        </w:rPr>
      </w:pPr>
      <w:r w:rsidRPr="00154493">
        <w:rPr>
          <w:sz w:val="36"/>
          <w:szCs w:val="36"/>
        </w:rPr>
        <w:t xml:space="preserve">Trainingsplan </w:t>
      </w:r>
      <w:r w:rsidR="003A7457" w:rsidRPr="00154493">
        <w:rPr>
          <w:sz w:val="36"/>
          <w:szCs w:val="36"/>
        </w:rPr>
        <w:t>verdieping</w:t>
      </w:r>
      <w:r w:rsidR="00154493">
        <w:rPr>
          <w:sz w:val="36"/>
          <w:szCs w:val="36"/>
        </w:rPr>
        <w:t xml:space="preserve">straining signaleren van overbelasting van mantelzorgers en signaleren van ontsporing van mantelzorgsituaties </w:t>
      </w:r>
      <w:r w:rsidR="003A7457" w:rsidRPr="00154493">
        <w:rPr>
          <w:sz w:val="36"/>
          <w:szCs w:val="36"/>
        </w:rPr>
        <w:t>2017</w:t>
      </w:r>
    </w:p>
    <w:p w:rsidR="00671806" w:rsidRDefault="00671806" w:rsidP="00671806">
      <w:pPr>
        <w:pStyle w:val="Kop1"/>
      </w:pPr>
      <w:r>
        <w:t>Programma</w:t>
      </w:r>
      <w:r w:rsidR="00626EC2">
        <w:t xml:space="preserve"> 1</w:t>
      </w:r>
      <w:r w:rsidR="00626EC2" w:rsidRPr="00626EC2">
        <w:rPr>
          <w:vertAlign w:val="superscript"/>
        </w:rPr>
        <w:t>e</w:t>
      </w:r>
      <w:r w:rsidR="00626EC2">
        <w:t xml:space="preserve">  deel</w:t>
      </w:r>
    </w:p>
    <w:p w:rsidR="0080394B" w:rsidRPr="009D73E9" w:rsidRDefault="0080394B" w:rsidP="0080394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"/>
        <w:gridCol w:w="976"/>
        <w:gridCol w:w="7316"/>
      </w:tblGrid>
      <w:tr w:rsidR="0080394B" w:rsidRPr="009D73E9" w:rsidTr="0080394B">
        <w:tc>
          <w:tcPr>
            <w:tcW w:w="996" w:type="dxa"/>
          </w:tcPr>
          <w:p w:rsidR="0080394B" w:rsidRPr="009D73E9" w:rsidRDefault="0080394B" w:rsidP="001C17C6">
            <w:pPr>
              <w:rPr>
                <w:b/>
                <w:sz w:val="24"/>
                <w:szCs w:val="24"/>
              </w:rPr>
            </w:pPr>
            <w:r w:rsidRPr="009D73E9">
              <w:rPr>
                <w:b/>
                <w:sz w:val="24"/>
                <w:szCs w:val="24"/>
              </w:rPr>
              <w:t>Tijdstip</w:t>
            </w:r>
          </w:p>
        </w:tc>
        <w:tc>
          <w:tcPr>
            <w:tcW w:w="976" w:type="dxa"/>
          </w:tcPr>
          <w:p w:rsidR="0080394B" w:rsidRPr="009D73E9" w:rsidRDefault="00672A7F" w:rsidP="00672A7F">
            <w:pPr>
              <w:rPr>
                <w:b/>
                <w:sz w:val="24"/>
                <w:szCs w:val="24"/>
              </w:rPr>
            </w:pPr>
            <w:r w:rsidRPr="009D73E9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7316" w:type="dxa"/>
          </w:tcPr>
          <w:p w:rsidR="0080394B" w:rsidRPr="009D73E9" w:rsidRDefault="0080394B" w:rsidP="001C17C6">
            <w:pPr>
              <w:rPr>
                <w:b/>
                <w:sz w:val="24"/>
                <w:szCs w:val="24"/>
              </w:rPr>
            </w:pPr>
            <w:r w:rsidRPr="009D73E9">
              <w:rPr>
                <w:b/>
                <w:sz w:val="24"/>
                <w:szCs w:val="24"/>
              </w:rPr>
              <w:t>Onderwerp/werkvorm</w:t>
            </w:r>
          </w:p>
        </w:tc>
      </w:tr>
      <w:tr w:rsidR="006C4274" w:rsidRPr="009D73E9" w:rsidTr="0080394B">
        <w:tc>
          <w:tcPr>
            <w:tcW w:w="996" w:type="dxa"/>
          </w:tcPr>
          <w:p w:rsidR="006C4274" w:rsidRPr="009D73E9" w:rsidRDefault="006C4274" w:rsidP="00626EC2">
            <w:pPr>
              <w:rPr>
                <w:sz w:val="24"/>
                <w:szCs w:val="24"/>
              </w:rPr>
            </w:pPr>
            <w:r w:rsidRPr="009D73E9">
              <w:rPr>
                <w:sz w:val="24"/>
                <w:szCs w:val="24"/>
              </w:rPr>
              <w:t>1</w:t>
            </w:r>
            <w:r w:rsidR="00626EC2">
              <w:rPr>
                <w:sz w:val="24"/>
                <w:szCs w:val="24"/>
              </w:rPr>
              <w:t>3</w:t>
            </w:r>
            <w:r w:rsidRPr="009D73E9">
              <w:rPr>
                <w:sz w:val="24"/>
                <w:szCs w:val="24"/>
              </w:rPr>
              <w:t>.00</w:t>
            </w:r>
          </w:p>
        </w:tc>
        <w:tc>
          <w:tcPr>
            <w:tcW w:w="976" w:type="dxa"/>
          </w:tcPr>
          <w:p w:rsidR="006C4274" w:rsidRPr="009D73E9" w:rsidRDefault="00963C2B" w:rsidP="0062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E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626EC2">
              <w:rPr>
                <w:sz w:val="24"/>
                <w:szCs w:val="24"/>
              </w:rPr>
              <w:t>10</w:t>
            </w:r>
          </w:p>
        </w:tc>
        <w:tc>
          <w:tcPr>
            <w:tcW w:w="7316" w:type="dxa"/>
          </w:tcPr>
          <w:p w:rsidR="006C4274" w:rsidRPr="009D73E9" w:rsidRDefault="00626EC2" w:rsidP="000017E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Welkom</w:t>
            </w:r>
            <w:r w:rsidR="00E43856" w:rsidRPr="009D73E9">
              <w:rPr>
                <w:sz w:val="24"/>
                <w:szCs w:val="24"/>
              </w:rPr>
              <w:t xml:space="preserve"> </w:t>
            </w:r>
          </w:p>
        </w:tc>
      </w:tr>
      <w:tr w:rsidR="0080394B" w:rsidRPr="009D73E9" w:rsidTr="0080394B">
        <w:tc>
          <w:tcPr>
            <w:tcW w:w="996" w:type="dxa"/>
          </w:tcPr>
          <w:p w:rsidR="0080394B" w:rsidRPr="009D73E9" w:rsidRDefault="00963C2B" w:rsidP="0062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E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626EC2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80394B" w:rsidRPr="009D73E9" w:rsidRDefault="00963C2B" w:rsidP="0062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E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626EC2">
              <w:rPr>
                <w:sz w:val="24"/>
                <w:szCs w:val="24"/>
              </w:rPr>
              <w:t>30</w:t>
            </w:r>
          </w:p>
        </w:tc>
        <w:tc>
          <w:tcPr>
            <w:tcW w:w="7316" w:type="dxa"/>
          </w:tcPr>
          <w:p w:rsidR="0080394B" w:rsidRPr="009D73E9" w:rsidRDefault="000017EB" w:rsidP="003A745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Voorstellen</w:t>
            </w:r>
            <w:r w:rsidR="00CD763E" w:rsidRPr="009D73E9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626EC2" w:rsidRPr="009D73E9" w:rsidTr="0080394B">
        <w:tc>
          <w:tcPr>
            <w:tcW w:w="996" w:type="dxa"/>
          </w:tcPr>
          <w:p w:rsidR="00626EC2" w:rsidRDefault="000017EB" w:rsidP="0062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76" w:type="dxa"/>
          </w:tcPr>
          <w:p w:rsidR="00626EC2" w:rsidRDefault="000017EB" w:rsidP="0062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7316" w:type="dxa"/>
          </w:tcPr>
          <w:p w:rsidR="00626EC2" w:rsidRPr="009D73E9" w:rsidRDefault="00626EC2" w:rsidP="003A745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73E9">
              <w:rPr>
                <w:sz w:val="24"/>
                <w:szCs w:val="24"/>
              </w:rPr>
              <w:t>Mantelzorg</w:t>
            </w:r>
            <w:r>
              <w:rPr>
                <w:sz w:val="24"/>
                <w:szCs w:val="24"/>
              </w:rPr>
              <w:t xml:space="preserve"> en mantelzorgondersteuning in de regio</w:t>
            </w:r>
            <w:r w:rsidRPr="009D73E9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42683" w:rsidRPr="009D73E9" w:rsidTr="0080394B">
        <w:tc>
          <w:tcPr>
            <w:tcW w:w="996" w:type="dxa"/>
          </w:tcPr>
          <w:p w:rsidR="00442683" w:rsidRPr="009D73E9" w:rsidRDefault="00626EC2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54FA">
              <w:rPr>
                <w:sz w:val="24"/>
                <w:szCs w:val="24"/>
              </w:rPr>
              <w:t>.</w:t>
            </w:r>
            <w:r w:rsidR="000017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442683" w:rsidRPr="009D73E9" w:rsidRDefault="00E354FA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17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017EB">
              <w:rPr>
                <w:sz w:val="24"/>
                <w:szCs w:val="24"/>
              </w:rPr>
              <w:t>1</w:t>
            </w:r>
            <w:r w:rsidR="00626EC2">
              <w:rPr>
                <w:sz w:val="24"/>
                <w:szCs w:val="24"/>
              </w:rPr>
              <w:t>0</w:t>
            </w:r>
          </w:p>
        </w:tc>
        <w:tc>
          <w:tcPr>
            <w:tcW w:w="7316" w:type="dxa"/>
          </w:tcPr>
          <w:p w:rsidR="00442683" w:rsidRPr="009D73E9" w:rsidRDefault="00F615FF" w:rsidP="003A745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Herkennen van de signalen van overbelasting</w:t>
            </w:r>
            <w:r w:rsidR="00DC25E0">
              <w:rPr>
                <w:sz w:val="24"/>
                <w:szCs w:val="24"/>
              </w:rPr>
              <w:t xml:space="preserve">                      </w:t>
            </w:r>
            <w:r w:rsidR="00CD763E" w:rsidRPr="009D73E9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626EC2" w:rsidRPr="009D73E9" w:rsidTr="0080394B">
        <w:tc>
          <w:tcPr>
            <w:tcW w:w="996" w:type="dxa"/>
          </w:tcPr>
          <w:p w:rsidR="00626EC2" w:rsidRDefault="00626EC2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17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017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626EC2" w:rsidRDefault="00626EC2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17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017EB">
              <w:rPr>
                <w:sz w:val="24"/>
                <w:szCs w:val="24"/>
              </w:rPr>
              <w:t>15</w:t>
            </w:r>
          </w:p>
        </w:tc>
        <w:tc>
          <w:tcPr>
            <w:tcW w:w="7316" w:type="dxa"/>
          </w:tcPr>
          <w:p w:rsidR="00626EC2" w:rsidRDefault="00626EC2" w:rsidP="003A745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</w:tc>
      </w:tr>
      <w:tr w:rsidR="00E354FA" w:rsidRPr="009D73E9" w:rsidTr="0080394B">
        <w:tc>
          <w:tcPr>
            <w:tcW w:w="996" w:type="dxa"/>
          </w:tcPr>
          <w:p w:rsidR="00E354FA" w:rsidRPr="009D73E9" w:rsidRDefault="00E354FA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017EB">
              <w:rPr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E354FA" w:rsidRPr="009D73E9" w:rsidRDefault="00E354FA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0017EB">
              <w:rPr>
                <w:sz w:val="24"/>
                <w:szCs w:val="24"/>
              </w:rPr>
              <w:t>0</w:t>
            </w:r>
          </w:p>
        </w:tc>
        <w:tc>
          <w:tcPr>
            <w:tcW w:w="7316" w:type="dxa"/>
          </w:tcPr>
          <w:p w:rsidR="00E354FA" w:rsidRDefault="00E354FA" w:rsidP="003A745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Toepassen van de Caregiver Strain Index</w:t>
            </w:r>
          </w:p>
        </w:tc>
      </w:tr>
      <w:tr w:rsidR="00442683" w:rsidRPr="009D73E9" w:rsidTr="0080394B">
        <w:tc>
          <w:tcPr>
            <w:tcW w:w="996" w:type="dxa"/>
          </w:tcPr>
          <w:p w:rsidR="00442683" w:rsidRPr="009D73E9" w:rsidRDefault="00E354FA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0017E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442683" w:rsidRPr="009D73E9" w:rsidRDefault="00E354FA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26EC2">
              <w:rPr>
                <w:sz w:val="24"/>
                <w:szCs w:val="24"/>
              </w:rPr>
              <w:t>0</w:t>
            </w:r>
            <w:r w:rsidR="000017EB">
              <w:rPr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442683" w:rsidRPr="009D73E9" w:rsidRDefault="00626EC2" w:rsidP="003A745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73E9">
              <w:rPr>
                <w:sz w:val="24"/>
                <w:szCs w:val="24"/>
              </w:rPr>
              <w:t>PAUZE</w:t>
            </w:r>
            <w:r w:rsidR="00DC25E0">
              <w:rPr>
                <w:sz w:val="24"/>
                <w:szCs w:val="24"/>
              </w:rPr>
              <w:t xml:space="preserve">    </w:t>
            </w:r>
            <w:r w:rsidR="00CD763E" w:rsidRPr="009D73E9"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80394B" w:rsidRPr="009D73E9" w:rsidTr="0080394B">
        <w:tc>
          <w:tcPr>
            <w:tcW w:w="996" w:type="dxa"/>
          </w:tcPr>
          <w:p w:rsidR="0080394B" w:rsidRPr="009D73E9" w:rsidRDefault="000017EB" w:rsidP="0000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76" w:type="dxa"/>
          </w:tcPr>
          <w:p w:rsidR="0080394B" w:rsidRPr="009D73E9" w:rsidRDefault="000017EB" w:rsidP="001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7316" w:type="dxa"/>
          </w:tcPr>
          <w:p w:rsidR="0080394B" w:rsidRPr="009D73E9" w:rsidRDefault="000017EB" w:rsidP="0071703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Respijtzorg</w:t>
            </w:r>
            <w:r w:rsidR="00154493">
              <w:rPr>
                <w:sz w:val="24"/>
                <w:szCs w:val="24"/>
              </w:rPr>
              <w:t>, wat is het, hoe kan ik het inzetten en welke rol speel ik als professional hierin</w:t>
            </w:r>
            <w:r w:rsidR="00B62F37">
              <w:rPr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71703D" w:rsidRPr="009D73E9" w:rsidTr="0080394B">
        <w:tc>
          <w:tcPr>
            <w:tcW w:w="996" w:type="dxa"/>
          </w:tcPr>
          <w:p w:rsidR="0071703D" w:rsidRDefault="000017EB" w:rsidP="0015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="00154493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71703D" w:rsidRDefault="000017EB" w:rsidP="00932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16" w:type="dxa"/>
          </w:tcPr>
          <w:p w:rsidR="0071703D" w:rsidRPr="009D73E9" w:rsidRDefault="00154493" w:rsidP="0071703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Theorie en praktijk van gespreksvaardigheden in de context tot bespreekbaar maken van overbelasting</w:t>
            </w:r>
          </w:p>
        </w:tc>
      </w:tr>
    </w:tbl>
    <w:p w:rsidR="001C17C6" w:rsidRPr="009D73E9" w:rsidRDefault="001C17C6" w:rsidP="001C17C6">
      <w:pPr>
        <w:rPr>
          <w:sz w:val="24"/>
          <w:szCs w:val="24"/>
        </w:rPr>
      </w:pPr>
    </w:p>
    <w:p w:rsidR="00672A7F" w:rsidRPr="009D73E9" w:rsidRDefault="00672A7F" w:rsidP="00672A7F">
      <w:pPr>
        <w:rPr>
          <w:sz w:val="24"/>
          <w:szCs w:val="24"/>
        </w:rPr>
      </w:pPr>
    </w:p>
    <w:p w:rsidR="00F615FF" w:rsidRDefault="00433A02" w:rsidP="00433A02">
      <w:pPr>
        <w:pStyle w:val="Kop2"/>
        <w:rPr>
          <w:sz w:val="24"/>
          <w:szCs w:val="24"/>
        </w:rPr>
      </w:pPr>
      <w:r w:rsidRPr="009D73E9">
        <w:rPr>
          <w:sz w:val="24"/>
          <w:szCs w:val="24"/>
        </w:rPr>
        <w:t>doel</w:t>
      </w:r>
      <w:r w:rsidR="00467228" w:rsidRPr="009D73E9">
        <w:rPr>
          <w:sz w:val="24"/>
          <w:szCs w:val="24"/>
        </w:rPr>
        <w:t>en</w:t>
      </w:r>
      <w:r w:rsidRPr="009D73E9">
        <w:rPr>
          <w:sz w:val="24"/>
          <w:szCs w:val="24"/>
        </w:rPr>
        <w:t xml:space="preserve"> </w:t>
      </w:r>
      <w:r w:rsidR="009277D6">
        <w:rPr>
          <w:sz w:val="24"/>
          <w:szCs w:val="24"/>
        </w:rPr>
        <w:t>1</w:t>
      </w:r>
      <w:r w:rsidR="009277D6" w:rsidRPr="009277D6">
        <w:rPr>
          <w:sz w:val="24"/>
          <w:szCs w:val="24"/>
          <w:vertAlign w:val="superscript"/>
        </w:rPr>
        <w:t>e</w:t>
      </w:r>
      <w:r w:rsidR="009277D6">
        <w:rPr>
          <w:sz w:val="24"/>
          <w:szCs w:val="24"/>
        </w:rPr>
        <w:t xml:space="preserve"> deel </w:t>
      </w:r>
      <w:r w:rsidRPr="009D73E9">
        <w:rPr>
          <w:sz w:val="24"/>
          <w:szCs w:val="24"/>
        </w:rPr>
        <w:t>van de training</w:t>
      </w:r>
    </w:p>
    <w:p w:rsidR="00F615FF" w:rsidRPr="00F615FF" w:rsidRDefault="00F615FF" w:rsidP="00F615FF"/>
    <w:p w:rsidR="00626EC2" w:rsidRPr="003A4865" w:rsidRDefault="00626EC2" w:rsidP="00626EC2">
      <w:pPr>
        <w:rPr>
          <w:sz w:val="24"/>
          <w:szCs w:val="24"/>
        </w:rPr>
      </w:pPr>
      <w:r w:rsidRPr="00E8640A">
        <w:rPr>
          <w:sz w:val="24"/>
          <w:szCs w:val="24"/>
        </w:rPr>
        <w:t>Hoofddoel:</w:t>
      </w:r>
      <w:r>
        <w:t xml:space="preserve"> </w:t>
      </w:r>
      <w:r w:rsidRPr="003A4865">
        <w:rPr>
          <w:sz w:val="24"/>
          <w:szCs w:val="24"/>
        </w:rPr>
        <w:t>De deelnemers zijn na afloop van de training in staat om</w:t>
      </w:r>
      <w:r>
        <w:rPr>
          <w:sz w:val="24"/>
          <w:szCs w:val="24"/>
        </w:rPr>
        <w:t xml:space="preserve"> overbelasting van mantelzorgers te herkennen, weten de CSI te gebruiken en te interpreteren, kennen de mogelijkheden van de inzet van respijtzorg en weten hun rol daarin.</w:t>
      </w:r>
      <w:r w:rsidRPr="003A4865">
        <w:rPr>
          <w:sz w:val="24"/>
          <w:szCs w:val="24"/>
        </w:rPr>
        <w:t xml:space="preserve"> </w:t>
      </w:r>
    </w:p>
    <w:p w:rsidR="00626EC2" w:rsidRDefault="00626EC2" w:rsidP="00626EC2"/>
    <w:p w:rsidR="00626EC2" w:rsidRPr="003A4865" w:rsidRDefault="00626EC2" w:rsidP="00626EC2">
      <w:pPr>
        <w:rPr>
          <w:sz w:val="24"/>
          <w:szCs w:val="24"/>
        </w:rPr>
      </w:pPr>
      <w:r w:rsidRPr="00E8640A">
        <w:rPr>
          <w:sz w:val="24"/>
          <w:szCs w:val="24"/>
        </w:rPr>
        <w:t>Kennis:</w:t>
      </w:r>
      <w:r>
        <w:t xml:space="preserve"> </w:t>
      </w:r>
      <w:r w:rsidRPr="003A4865">
        <w:rPr>
          <w:sz w:val="24"/>
          <w:szCs w:val="24"/>
        </w:rPr>
        <w:t xml:space="preserve">deelnemers herkennen de signalen van </w:t>
      </w:r>
      <w:r>
        <w:rPr>
          <w:sz w:val="24"/>
          <w:szCs w:val="24"/>
        </w:rPr>
        <w:t>overbelasting van mantelzorgers en kennen de mogelijkheden van Respijtzorg</w:t>
      </w:r>
      <w:r w:rsidRPr="003A4865">
        <w:rPr>
          <w:sz w:val="24"/>
          <w:szCs w:val="24"/>
        </w:rPr>
        <w:t>.</w:t>
      </w:r>
    </w:p>
    <w:p w:rsidR="00626EC2" w:rsidRDefault="00626EC2" w:rsidP="00626EC2"/>
    <w:p w:rsidR="00626EC2" w:rsidRPr="003A4865" w:rsidRDefault="00626EC2" w:rsidP="00626EC2">
      <w:pPr>
        <w:rPr>
          <w:sz w:val="24"/>
          <w:szCs w:val="24"/>
        </w:rPr>
      </w:pPr>
      <w:r w:rsidRPr="00E8640A">
        <w:rPr>
          <w:sz w:val="24"/>
          <w:szCs w:val="24"/>
        </w:rPr>
        <w:t>Attitude:</w:t>
      </w:r>
      <w:r>
        <w:t xml:space="preserve"> </w:t>
      </w:r>
      <w:r w:rsidRPr="003A4865">
        <w:rPr>
          <w:sz w:val="24"/>
          <w:szCs w:val="24"/>
        </w:rPr>
        <w:t xml:space="preserve">de deelnemers </w:t>
      </w:r>
      <w:r>
        <w:rPr>
          <w:sz w:val="24"/>
          <w:szCs w:val="24"/>
        </w:rPr>
        <w:t>willen</w:t>
      </w:r>
      <w:r w:rsidRPr="003A4865">
        <w:rPr>
          <w:sz w:val="24"/>
          <w:szCs w:val="24"/>
        </w:rPr>
        <w:t xml:space="preserve"> de </w:t>
      </w:r>
      <w:r>
        <w:rPr>
          <w:sz w:val="24"/>
          <w:szCs w:val="24"/>
        </w:rPr>
        <w:t>CSI gebruiken bij ve</w:t>
      </w:r>
      <w:r w:rsidRPr="003A4865">
        <w:rPr>
          <w:sz w:val="24"/>
          <w:szCs w:val="24"/>
        </w:rPr>
        <w:t xml:space="preserve">rmoedens van </w:t>
      </w:r>
      <w:r>
        <w:rPr>
          <w:sz w:val="24"/>
          <w:szCs w:val="24"/>
        </w:rPr>
        <w:t>overbelasting van mantelzorgers.</w:t>
      </w:r>
    </w:p>
    <w:p w:rsidR="00626EC2" w:rsidRDefault="00626EC2" w:rsidP="00626EC2"/>
    <w:p w:rsidR="000017EB" w:rsidRDefault="00626EC2" w:rsidP="000017EB">
      <w:pPr>
        <w:rPr>
          <w:sz w:val="24"/>
          <w:szCs w:val="24"/>
        </w:rPr>
      </w:pPr>
      <w:r w:rsidRPr="00E8640A">
        <w:rPr>
          <w:sz w:val="24"/>
          <w:szCs w:val="24"/>
        </w:rPr>
        <w:t>Vaardigheden:</w:t>
      </w:r>
      <w:r>
        <w:t xml:space="preserve"> </w:t>
      </w:r>
      <w:r w:rsidRPr="003A4865">
        <w:rPr>
          <w:sz w:val="24"/>
          <w:szCs w:val="24"/>
        </w:rPr>
        <w:t xml:space="preserve">deelnemers kunnen in een gesprek met een mantelzorger </w:t>
      </w:r>
      <w:r>
        <w:rPr>
          <w:sz w:val="24"/>
          <w:szCs w:val="24"/>
        </w:rPr>
        <w:t>volgens de CSI overbelasti</w:t>
      </w:r>
      <w:r w:rsidR="000017EB">
        <w:rPr>
          <w:sz w:val="24"/>
          <w:szCs w:val="24"/>
        </w:rPr>
        <w:t>ng van mantelzorgers reduceren.</w:t>
      </w:r>
    </w:p>
    <w:p w:rsidR="000017EB" w:rsidRDefault="000017EB" w:rsidP="000017EB">
      <w:pPr>
        <w:rPr>
          <w:sz w:val="24"/>
          <w:szCs w:val="24"/>
        </w:rPr>
      </w:pPr>
    </w:p>
    <w:p w:rsidR="00154493" w:rsidRDefault="00154493" w:rsidP="000017EB">
      <w:pPr>
        <w:rPr>
          <w:sz w:val="24"/>
          <w:szCs w:val="24"/>
        </w:rPr>
      </w:pPr>
    </w:p>
    <w:p w:rsidR="00154493" w:rsidRDefault="00154493" w:rsidP="000017EB">
      <w:pPr>
        <w:rPr>
          <w:sz w:val="24"/>
          <w:szCs w:val="24"/>
        </w:rPr>
      </w:pPr>
    </w:p>
    <w:p w:rsidR="00154493" w:rsidRDefault="00154493" w:rsidP="000017EB">
      <w:pPr>
        <w:rPr>
          <w:sz w:val="24"/>
          <w:szCs w:val="24"/>
        </w:rPr>
      </w:pPr>
    </w:p>
    <w:p w:rsidR="00154493" w:rsidRDefault="00154493" w:rsidP="000017EB">
      <w:pPr>
        <w:rPr>
          <w:sz w:val="24"/>
          <w:szCs w:val="24"/>
        </w:rPr>
      </w:pPr>
    </w:p>
    <w:p w:rsidR="00154493" w:rsidRPr="000017EB" w:rsidRDefault="00154493" w:rsidP="000017EB">
      <w:pPr>
        <w:rPr>
          <w:sz w:val="24"/>
          <w:szCs w:val="24"/>
        </w:rPr>
      </w:pPr>
    </w:p>
    <w:p w:rsidR="000017EB" w:rsidRDefault="000017EB" w:rsidP="000017EB">
      <w:pPr>
        <w:pStyle w:val="Kop1"/>
      </w:pPr>
      <w:r>
        <w:lastRenderedPageBreak/>
        <w:t xml:space="preserve">Programma </w:t>
      </w:r>
      <w:r w:rsidR="00E04D6F">
        <w:t>2</w:t>
      </w:r>
      <w:r w:rsidRPr="00626EC2">
        <w:rPr>
          <w:vertAlign w:val="superscript"/>
        </w:rPr>
        <w:t>e</w:t>
      </w:r>
      <w:r>
        <w:t xml:space="preserve">  deel</w:t>
      </w:r>
    </w:p>
    <w:p w:rsidR="000017EB" w:rsidRPr="009D73E9" w:rsidRDefault="000017EB" w:rsidP="000017EB">
      <w:pPr>
        <w:rPr>
          <w:sz w:val="24"/>
          <w:szCs w:val="24"/>
        </w:rPr>
      </w:pPr>
    </w:p>
    <w:p w:rsidR="00220E76" w:rsidRPr="00D402F8" w:rsidRDefault="00220E76" w:rsidP="00220E76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"/>
        <w:gridCol w:w="976"/>
        <w:gridCol w:w="7316"/>
      </w:tblGrid>
      <w:tr w:rsidR="00220E76" w:rsidRPr="00D402F8" w:rsidTr="003F37DC">
        <w:tc>
          <w:tcPr>
            <w:tcW w:w="996" w:type="dxa"/>
          </w:tcPr>
          <w:p w:rsidR="00220E76" w:rsidRPr="00D402F8" w:rsidRDefault="00220E76" w:rsidP="003F37DC">
            <w:pPr>
              <w:rPr>
                <w:b/>
                <w:sz w:val="24"/>
                <w:szCs w:val="24"/>
              </w:rPr>
            </w:pPr>
            <w:r w:rsidRPr="00D402F8">
              <w:rPr>
                <w:b/>
                <w:sz w:val="24"/>
                <w:szCs w:val="24"/>
              </w:rPr>
              <w:t>Tijdstip</w:t>
            </w:r>
          </w:p>
        </w:tc>
        <w:tc>
          <w:tcPr>
            <w:tcW w:w="976" w:type="dxa"/>
          </w:tcPr>
          <w:p w:rsidR="00220E76" w:rsidRPr="00D402F8" w:rsidRDefault="00220E76" w:rsidP="003F37DC">
            <w:pPr>
              <w:rPr>
                <w:b/>
                <w:sz w:val="24"/>
                <w:szCs w:val="24"/>
              </w:rPr>
            </w:pPr>
            <w:r w:rsidRPr="00D402F8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7316" w:type="dxa"/>
          </w:tcPr>
          <w:p w:rsidR="00220E76" w:rsidRPr="00D402F8" w:rsidRDefault="00220E76" w:rsidP="003F37DC">
            <w:pPr>
              <w:rPr>
                <w:b/>
                <w:sz w:val="24"/>
                <w:szCs w:val="24"/>
              </w:rPr>
            </w:pPr>
            <w:r w:rsidRPr="00D402F8">
              <w:rPr>
                <w:b/>
                <w:sz w:val="24"/>
                <w:szCs w:val="24"/>
              </w:rPr>
              <w:t>Onderwerp/werkvorm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Pr="00D402F8" w:rsidRDefault="00220E76" w:rsidP="003F37DC">
            <w:pPr>
              <w:rPr>
                <w:sz w:val="24"/>
                <w:szCs w:val="24"/>
              </w:rPr>
            </w:pPr>
            <w:r w:rsidRPr="00D402F8">
              <w:rPr>
                <w:sz w:val="24"/>
                <w:szCs w:val="24"/>
              </w:rPr>
              <w:t>13.00</w:t>
            </w:r>
          </w:p>
        </w:tc>
        <w:tc>
          <w:tcPr>
            <w:tcW w:w="976" w:type="dxa"/>
          </w:tcPr>
          <w:p w:rsidR="00220E76" w:rsidRPr="00D402F8" w:rsidRDefault="00C814B1" w:rsidP="003F3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20E76" w:rsidRPr="00D402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220E76" w:rsidRPr="003F37DC" w:rsidRDefault="00220E76" w:rsidP="003F37DC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F37DC">
              <w:rPr>
                <w:sz w:val="24"/>
                <w:szCs w:val="24"/>
              </w:rPr>
              <w:t>Welkom/ voorstellen  medewerker Veilig Thuis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814B1">
              <w:rPr>
                <w:sz w:val="24"/>
                <w:szCs w:val="24"/>
              </w:rPr>
              <w:t>05</w:t>
            </w:r>
          </w:p>
        </w:tc>
        <w:tc>
          <w:tcPr>
            <w:tcW w:w="976" w:type="dxa"/>
          </w:tcPr>
          <w:p w:rsidR="00220E76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814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220E76" w:rsidRDefault="00220E76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Terugblik vorige trainingsbijeenkomst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814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814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220E76" w:rsidRPr="00D402F8" w:rsidRDefault="00220E76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Herkennen van de signalen van ontsporing van mantelzorgsituaties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Pr="00D402F8" w:rsidRDefault="00C814B1" w:rsidP="003F3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220E76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814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16" w:type="dxa"/>
          </w:tcPr>
          <w:p w:rsidR="00220E76" w:rsidRPr="00D402F8" w:rsidRDefault="00220E76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814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C814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16" w:type="dxa"/>
          </w:tcPr>
          <w:p w:rsidR="00220E76" w:rsidRPr="00D402F8" w:rsidRDefault="00220E76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benoemen van de stappen van de meldcode Huiselijk Geweld en Kindermishandeling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C814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0E76" w:rsidRPr="00D402F8" w:rsidRDefault="00C814B1" w:rsidP="003F3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="00220E76">
              <w:rPr>
                <w:sz w:val="24"/>
                <w:szCs w:val="24"/>
              </w:rPr>
              <w:t>0</w:t>
            </w:r>
          </w:p>
        </w:tc>
        <w:tc>
          <w:tcPr>
            <w:tcW w:w="7316" w:type="dxa"/>
          </w:tcPr>
          <w:p w:rsidR="00220E76" w:rsidRPr="00D402F8" w:rsidRDefault="00220E76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Toepassen van de meldcode bij vermoedens van ontsporing van de mantelzorger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C814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C814B1">
              <w:rPr>
                <w:sz w:val="24"/>
                <w:szCs w:val="24"/>
              </w:rPr>
              <w:t>25</w:t>
            </w:r>
          </w:p>
        </w:tc>
        <w:tc>
          <w:tcPr>
            <w:tcW w:w="7316" w:type="dxa"/>
          </w:tcPr>
          <w:p w:rsidR="00220E76" w:rsidRPr="00D402F8" w:rsidRDefault="00220E76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</w:tc>
      </w:tr>
      <w:tr w:rsidR="00220E76" w:rsidRPr="00D402F8" w:rsidTr="003F37DC">
        <w:tc>
          <w:tcPr>
            <w:tcW w:w="99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E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814B1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:rsidR="00220E76" w:rsidRPr="00D402F8" w:rsidRDefault="00220E76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4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814B1">
              <w:rPr>
                <w:sz w:val="24"/>
                <w:szCs w:val="24"/>
              </w:rPr>
              <w:t>40</w:t>
            </w:r>
          </w:p>
        </w:tc>
        <w:tc>
          <w:tcPr>
            <w:tcW w:w="7316" w:type="dxa"/>
          </w:tcPr>
          <w:p w:rsidR="00220E76" w:rsidRPr="00D402F8" w:rsidRDefault="00490E7E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 (Rationele Effectiviteits Training)</w:t>
            </w:r>
          </w:p>
        </w:tc>
      </w:tr>
      <w:tr w:rsidR="00490E7E" w:rsidRPr="00D402F8" w:rsidTr="003F37DC">
        <w:tc>
          <w:tcPr>
            <w:tcW w:w="996" w:type="dxa"/>
          </w:tcPr>
          <w:p w:rsidR="00490E7E" w:rsidRDefault="00C814B1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976" w:type="dxa"/>
          </w:tcPr>
          <w:p w:rsidR="00490E7E" w:rsidRDefault="00C814B1" w:rsidP="00C8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16" w:type="dxa"/>
          </w:tcPr>
          <w:p w:rsidR="00490E7E" w:rsidRDefault="00490E7E" w:rsidP="003F37DC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gesprek met een ontspoorde mantelzorger</w:t>
            </w:r>
            <w:r w:rsidR="00C814B1">
              <w:rPr>
                <w:sz w:val="24"/>
                <w:szCs w:val="24"/>
              </w:rPr>
              <w:t xml:space="preserve"> om de ontsporing te beëindigen</w:t>
            </w:r>
          </w:p>
        </w:tc>
      </w:tr>
      <w:tr w:rsidR="00490E7E" w:rsidRPr="00D402F8" w:rsidTr="003F37DC">
        <w:tc>
          <w:tcPr>
            <w:tcW w:w="996" w:type="dxa"/>
          </w:tcPr>
          <w:p w:rsidR="00490E7E" w:rsidRDefault="00C814B1" w:rsidP="00490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76" w:type="dxa"/>
          </w:tcPr>
          <w:p w:rsidR="00490E7E" w:rsidRDefault="00C814B1" w:rsidP="00490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16" w:type="dxa"/>
          </w:tcPr>
          <w:p w:rsidR="00490E7E" w:rsidRDefault="00C814B1" w:rsidP="00C814B1">
            <w:pPr>
              <w:pStyle w:val="Lijstalinea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doet Veilig Thuis en praktijksituaties</w:t>
            </w:r>
          </w:p>
        </w:tc>
      </w:tr>
    </w:tbl>
    <w:p w:rsidR="000017EB" w:rsidRDefault="000017EB" w:rsidP="00F615FF">
      <w:pPr>
        <w:rPr>
          <w:sz w:val="24"/>
          <w:szCs w:val="24"/>
        </w:rPr>
      </w:pPr>
    </w:p>
    <w:p w:rsidR="003F37DC" w:rsidRPr="009D73E9" w:rsidRDefault="003F37DC" w:rsidP="003F37DC">
      <w:pPr>
        <w:rPr>
          <w:sz w:val="24"/>
          <w:szCs w:val="24"/>
        </w:rPr>
      </w:pPr>
    </w:p>
    <w:p w:rsidR="003F37DC" w:rsidRDefault="003F37DC" w:rsidP="003F37DC">
      <w:pPr>
        <w:pStyle w:val="Kop2"/>
        <w:rPr>
          <w:sz w:val="24"/>
          <w:szCs w:val="24"/>
        </w:rPr>
      </w:pPr>
      <w:r w:rsidRPr="009D73E9">
        <w:rPr>
          <w:sz w:val="24"/>
          <w:szCs w:val="24"/>
        </w:rPr>
        <w:t xml:space="preserve">doelen </w:t>
      </w:r>
      <w:r w:rsidR="009277D6">
        <w:rPr>
          <w:sz w:val="24"/>
          <w:szCs w:val="24"/>
        </w:rPr>
        <w:t>2</w:t>
      </w:r>
      <w:r w:rsidR="009277D6" w:rsidRPr="009277D6">
        <w:rPr>
          <w:sz w:val="24"/>
          <w:szCs w:val="24"/>
          <w:vertAlign w:val="superscript"/>
        </w:rPr>
        <w:t>e</w:t>
      </w:r>
      <w:r w:rsidR="009277D6">
        <w:rPr>
          <w:sz w:val="24"/>
          <w:szCs w:val="24"/>
        </w:rPr>
        <w:t xml:space="preserve"> deel </w:t>
      </w:r>
      <w:r w:rsidRPr="009D73E9">
        <w:rPr>
          <w:sz w:val="24"/>
          <w:szCs w:val="24"/>
        </w:rPr>
        <w:t>van de training</w:t>
      </w:r>
    </w:p>
    <w:p w:rsidR="003F37DC" w:rsidRPr="00F615FF" w:rsidRDefault="003F37DC" w:rsidP="003F37DC"/>
    <w:p w:rsidR="003F37DC" w:rsidRPr="003A4865" w:rsidRDefault="003F37DC" w:rsidP="003F37DC">
      <w:pPr>
        <w:rPr>
          <w:sz w:val="24"/>
          <w:szCs w:val="24"/>
        </w:rPr>
      </w:pPr>
      <w:r w:rsidRPr="00E8640A">
        <w:rPr>
          <w:sz w:val="24"/>
          <w:szCs w:val="24"/>
        </w:rPr>
        <w:t>Hoofddoel:</w:t>
      </w:r>
      <w:r>
        <w:t xml:space="preserve"> </w:t>
      </w:r>
      <w:r w:rsidRPr="003A4865">
        <w:rPr>
          <w:sz w:val="24"/>
          <w:szCs w:val="24"/>
        </w:rPr>
        <w:t>De deelnemers zijn na afloop van de training in staat om</w:t>
      </w:r>
      <w:r>
        <w:rPr>
          <w:sz w:val="24"/>
          <w:szCs w:val="24"/>
        </w:rPr>
        <w:t xml:space="preserve"> </w:t>
      </w:r>
      <w:r w:rsidRPr="003A4865">
        <w:rPr>
          <w:sz w:val="24"/>
          <w:szCs w:val="24"/>
        </w:rPr>
        <w:t xml:space="preserve">in een gesprek met een mantelzorger ontsporing van de mantelzorgsituatie te signaleren en weten de stappen volgens de meldcode Huiselijk geweld en kindermishandeling te zetten teneinde de ontsporing te beëindigen. </w:t>
      </w:r>
    </w:p>
    <w:p w:rsidR="003F37DC" w:rsidRDefault="003F37DC" w:rsidP="003F37DC"/>
    <w:p w:rsidR="003F37DC" w:rsidRPr="003A4865" w:rsidRDefault="003F37DC" w:rsidP="003F37DC">
      <w:pPr>
        <w:rPr>
          <w:sz w:val="24"/>
          <w:szCs w:val="24"/>
        </w:rPr>
      </w:pPr>
      <w:r w:rsidRPr="00E8640A">
        <w:rPr>
          <w:sz w:val="24"/>
          <w:szCs w:val="24"/>
        </w:rPr>
        <w:t>Kennis:</w:t>
      </w:r>
      <w:r>
        <w:t xml:space="preserve"> </w:t>
      </w:r>
      <w:r w:rsidRPr="003A4865">
        <w:rPr>
          <w:sz w:val="24"/>
          <w:szCs w:val="24"/>
        </w:rPr>
        <w:t>deelnemers herkennen de signalen van ontsporing van mantelzorgsituaties en kunnen de stappen van de meldcode huiselijk geweld en kindermishandeling benoemen.</w:t>
      </w:r>
    </w:p>
    <w:p w:rsidR="003F37DC" w:rsidRPr="003A4865" w:rsidRDefault="003F37DC" w:rsidP="003F37DC">
      <w:pPr>
        <w:rPr>
          <w:sz w:val="24"/>
          <w:szCs w:val="24"/>
        </w:rPr>
      </w:pPr>
      <w:r w:rsidRPr="00E8640A">
        <w:rPr>
          <w:sz w:val="24"/>
          <w:szCs w:val="24"/>
        </w:rPr>
        <w:t>Attitude:</w:t>
      </w:r>
      <w:r>
        <w:t xml:space="preserve"> </w:t>
      </w:r>
      <w:r w:rsidRPr="003A4865">
        <w:rPr>
          <w:sz w:val="24"/>
          <w:szCs w:val="24"/>
        </w:rPr>
        <w:t xml:space="preserve">de deelnemers </w:t>
      </w:r>
      <w:r>
        <w:rPr>
          <w:sz w:val="24"/>
          <w:szCs w:val="24"/>
        </w:rPr>
        <w:t>willen</w:t>
      </w:r>
      <w:r w:rsidRPr="003A4865">
        <w:rPr>
          <w:sz w:val="24"/>
          <w:szCs w:val="24"/>
        </w:rPr>
        <w:t xml:space="preserve"> de meldcode huiselijk geweld en kindermishandeling toepassen bij vermoedens van ontsporing van mantelzorgsituaties</w:t>
      </w:r>
    </w:p>
    <w:p w:rsidR="003F37DC" w:rsidRDefault="003F37DC" w:rsidP="003F37DC"/>
    <w:p w:rsidR="003F37DC" w:rsidRPr="003A4865" w:rsidRDefault="003F37DC" w:rsidP="003F37DC">
      <w:pPr>
        <w:rPr>
          <w:sz w:val="24"/>
          <w:szCs w:val="24"/>
        </w:rPr>
      </w:pPr>
      <w:r w:rsidRPr="00E8640A">
        <w:rPr>
          <w:sz w:val="24"/>
          <w:szCs w:val="24"/>
        </w:rPr>
        <w:t>Vaardigheden:</w:t>
      </w:r>
      <w:r>
        <w:t xml:space="preserve"> </w:t>
      </w:r>
      <w:r w:rsidRPr="003A4865">
        <w:rPr>
          <w:sz w:val="24"/>
          <w:szCs w:val="24"/>
        </w:rPr>
        <w:t xml:space="preserve">deelnemers kunnen in een gesprek met een mantelzorger volgens de meldcode huiselijk geweld en kindermishandeling de stappen zetten om de ontsporing te beëindigen. </w:t>
      </w:r>
    </w:p>
    <w:p w:rsidR="003F37DC" w:rsidRPr="00F615FF" w:rsidRDefault="003F37DC" w:rsidP="00F615FF">
      <w:pPr>
        <w:rPr>
          <w:sz w:val="24"/>
          <w:szCs w:val="24"/>
        </w:rPr>
      </w:pPr>
    </w:p>
    <w:sectPr w:rsidR="003F37DC" w:rsidRPr="00F615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7E" w:rsidRDefault="00490E7E" w:rsidP="006B77A6">
      <w:pPr>
        <w:spacing w:line="240" w:lineRule="auto"/>
      </w:pPr>
      <w:r>
        <w:separator/>
      </w:r>
    </w:p>
  </w:endnote>
  <w:endnote w:type="continuationSeparator" w:id="0">
    <w:p w:rsidR="00490E7E" w:rsidRDefault="00490E7E" w:rsidP="006B7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88295"/>
      <w:docPartObj>
        <w:docPartGallery w:val="Page Numbers (Bottom of Page)"/>
        <w:docPartUnique/>
      </w:docPartObj>
    </w:sdtPr>
    <w:sdtEndPr/>
    <w:sdtContent>
      <w:p w:rsidR="00490E7E" w:rsidRDefault="00490E7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37">
          <w:rPr>
            <w:noProof/>
          </w:rPr>
          <w:t>2</w:t>
        </w:r>
        <w:r>
          <w:fldChar w:fldCharType="end"/>
        </w:r>
      </w:p>
    </w:sdtContent>
  </w:sdt>
  <w:p w:rsidR="00490E7E" w:rsidRDefault="00490E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7E" w:rsidRDefault="00490E7E" w:rsidP="006B77A6">
      <w:pPr>
        <w:spacing w:line="240" w:lineRule="auto"/>
      </w:pPr>
      <w:r>
        <w:separator/>
      </w:r>
    </w:p>
  </w:footnote>
  <w:footnote w:type="continuationSeparator" w:id="0">
    <w:p w:rsidR="00490E7E" w:rsidRDefault="00490E7E" w:rsidP="006B7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C83"/>
    <w:multiLevelType w:val="hybridMultilevel"/>
    <w:tmpl w:val="CF80FB60"/>
    <w:lvl w:ilvl="0" w:tplc="ADBC709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3" w:hanging="360"/>
      </w:pPr>
    </w:lvl>
    <w:lvl w:ilvl="2" w:tplc="0413001B" w:tentative="1">
      <w:start w:val="1"/>
      <w:numFmt w:val="lowerRoman"/>
      <w:lvlText w:val="%3."/>
      <w:lvlJc w:val="right"/>
      <w:pPr>
        <w:ind w:left="1813" w:hanging="180"/>
      </w:pPr>
    </w:lvl>
    <w:lvl w:ilvl="3" w:tplc="0413000F" w:tentative="1">
      <w:start w:val="1"/>
      <w:numFmt w:val="decimal"/>
      <w:lvlText w:val="%4."/>
      <w:lvlJc w:val="left"/>
      <w:pPr>
        <w:ind w:left="2533" w:hanging="360"/>
      </w:pPr>
    </w:lvl>
    <w:lvl w:ilvl="4" w:tplc="04130019" w:tentative="1">
      <w:start w:val="1"/>
      <w:numFmt w:val="lowerLetter"/>
      <w:lvlText w:val="%5."/>
      <w:lvlJc w:val="left"/>
      <w:pPr>
        <w:ind w:left="3253" w:hanging="360"/>
      </w:pPr>
    </w:lvl>
    <w:lvl w:ilvl="5" w:tplc="0413001B" w:tentative="1">
      <w:start w:val="1"/>
      <w:numFmt w:val="lowerRoman"/>
      <w:lvlText w:val="%6."/>
      <w:lvlJc w:val="right"/>
      <w:pPr>
        <w:ind w:left="3973" w:hanging="180"/>
      </w:pPr>
    </w:lvl>
    <w:lvl w:ilvl="6" w:tplc="0413000F" w:tentative="1">
      <w:start w:val="1"/>
      <w:numFmt w:val="decimal"/>
      <w:lvlText w:val="%7."/>
      <w:lvlJc w:val="left"/>
      <w:pPr>
        <w:ind w:left="4693" w:hanging="360"/>
      </w:pPr>
    </w:lvl>
    <w:lvl w:ilvl="7" w:tplc="04130019" w:tentative="1">
      <w:start w:val="1"/>
      <w:numFmt w:val="lowerLetter"/>
      <w:lvlText w:val="%8."/>
      <w:lvlJc w:val="left"/>
      <w:pPr>
        <w:ind w:left="5413" w:hanging="360"/>
      </w:pPr>
    </w:lvl>
    <w:lvl w:ilvl="8" w:tplc="0413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F1B74D6"/>
    <w:multiLevelType w:val="hybridMultilevel"/>
    <w:tmpl w:val="449C97A0"/>
    <w:lvl w:ilvl="0" w:tplc="0413000F">
      <w:start w:val="1"/>
      <w:numFmt w:val="decimal"/>
      <w:lvlText w:val="%1."/>
      <w:lvlJc w:val="left"/>
      <w:pPr>
        <w:ind w:left="373" w:hanging="360"/>
      </w:pPr>
    </w:lvl>
    <w:lvl w:ilvl="1" w:tplc="04130019" w:tentative="1">
      <w:start w:val="1"/>
      <w:numFmt w:val="lowerLetter"/>
      <w:lvlText w:val="%2."/>
      <w:lvlJc w:val="left"/>
      <w:pPr>
        <w:ind w:left="810" w:hanging="360"/>
      </w:pPr>
    </w:lvl>
    <w:lvl w:ilvl="2" w:tplc="0413001B" w:tentative="1">
      <w:start w:val="1"/>
      <w:numFmt w:val="lowerRoman"/>
      <w:lvlText w:val="%3."/>
      <w:lvlJc w:val="right"/>
      <w:pPr>
        <w:ind w:left="1530" w:hanging="180"/>
      </w:pPr>
    </w:lvl>
    <w:lvl w:ilvl="3" w:tplc="0413000F" w:tentative="1">
      <w:start w:val="1"/>
      <w:numFmt w:val="decimal"/>
      <w:lvlText w:val="%4."/>
      <w:lvlJc w:val="left"/>
      <w:pPr>
        <w:ind w:left="2250" w:hanging="360"/>
      </w:pPr>
    </w:lvl>
    <w:lvl w:ilvl="4" w:tplc="04130019" w:tentative="1">
      <w:start w:val="1"/>
      <w:numFmt w:val="lowerLetter"/>
      <w:lvlText w:val="%5."/>
      <w:lvlJc w:val="left"/>
      <w:pPr>
        <w:ind w:left="2970" w:hanging="360"/>
      </w:pPr>
    </w:lvl>
    <w:lvl w:ilvl="5" w:tplc="0413001B" w:tentative="1">
      <w:start w:val="1"/>
      <w:numFmt w:val="lowerRoman"/>
      <w:lvlText w:val="%6."/>
      <w:lvlJc w:val="right"/>
      <w:pPr>
        <w:ind w:left="3690" w:hanging="180"/>
      </w:pPr>
    </w:lvl>
    <w:lvl w:ilvl="6" w:tplc="0413000F" w:tentative="1">
      <w:start w:val="1"/>
      <w:numFmt w:val="decimal"/>
      <w:lvlText w:val="%7."/>
      <w:lvlJc w:val="left"/>
      <w:pPr>
        <w:ind w:left="4410" w:hanging="360"/>
      </w:pPr>
    </w:lvl>
    <w:lvl w:ilvl="7" w:tplc="04130019" w:tentative="1">
      <w:start w:val="1"/>
      <w:numFmt w:val="lowerLetter"/>
      <w:lvlText w:val="%8."/>
      <w:lvlJc w:val="left"/>
      <w:pPr>
        <w:ind w:left="5130" w:hanging="360"/>
      </w:pPr>
    </w:lvl>
    <w:lvl w:ilvl="8" w:tplc="0413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449C546D"/>
    <w:multiLevelType w:val="hybridMultilevel"/>
    <w:tmpl w:val="3BC09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3C00"/>
    <w:multiLevelType w:val="hybridMultilevel"/>
    <w:tmpl w:val="28720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F5C7C"/>
    <w:multiLevelType w:val="hybridMultilevel"/>
    <w:tmpl w:val="A43E4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92A1C"/>
    <w:multiLevelType w:val="hybridMultilevel"/>
    <w:tmpl w:val="7FC40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6A23"/>
    <w:multiLevelType w:val="hybridMultilevel"/>
    <w:tmpl w:val="5AD29638"/>
    <w:lvl w:ilvl="0" w:tplc="043CBCE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73AD"/>
    <w:multiLevelType w:val="hybridMultilevel"/>
    <w:tmpl w:val="1EC24ECA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>
      <w:start w:val="1"/>
      <w:numFmt w:val="lowerLetter"/>
      <w:lvlText w:val="%2."/>
      <w:lvlJc w:val="left"/>
      <w:pPr>
        <w:ind w:left="1485" w:hanging="360"/>
      </w:pPr>
    </w:lvl>
    <w:lvl w:ilvl="2" w:tplc="0413001B">
      <w:start w:val="1"/>
      <w:numFmt w:val="lowerRoman"/>
      <w:lvlText w:val="%3."/>
      <w:lvlJc w:val="right"/>
      <w:pPr>
        <w:ind w:left="2205" w:hanging="180"/>
      </w:pPr>
    </w:lvl>
    <w:lvl w:ilvl="3" w:tplc="0413000F">
      <w:start w:val="1"/>
      <w:numFmt w:val="decimal"/>
      <w:lvlText w:val="%4."/>
      <w:lvlJc w:val="left"/>
      <w:pPr>
        <w:ind w:left="2925" w:hanging="360"/>
      </w:pPr>
    </w:lvl>
    <w:lvl w:ilvl="4" w:tplc="04130019">
      <w:start w:val="1"/>
      <w:numFmt w:val="lowerLetter"/>
      <w:lvlText w:val="%5."/>
      <w:lvlJc w:val="left"/>
      <w:pPr>
        <w:ind w:left="3645" w:hanging="360"/>
      </w:pPr>
    </w:lvl>
    <w:lvl w:ilvl="5" w:tplc="0413001B">
      <w:start w:val="1"/>
      <w:numFmt w:val="lowerRoman"/>
      <w:lvlText w:val="%6."/>
      <w:lvlJc w:val="right"/>
      <w:pPr>
        <w:ind w:left="4365" w:hanging="180"/>
      </w:pPr>
    </w:lvl>
    <w:lvl w:ilvl="6" w:tplc="0413000F">
      <w:start w:val="1"/>
      <w:numFmt w:val="decimal"/>
      <w:lvlText w:val="%7."/>
      <w:lvlJc w:val="left"/>
      <w:pPr>
        <w:ind w:left="5085" w:hanging="360"/>
      </w:pPr>
    </w:lvl>
    <w:lvl w:ilvl="7" w:tplc="04130019">
      <w:start w:val="1"/>
      <w:numFmt w:val="lowerLetter"/>
      <w:lvlText w:val="%8."/>
      <w:lvlJc w:val="left"/>
      <w:pPr>
        <w:ind w:left="5805" w:hanging="360"/>
      </w:pPr>
    </w:lvl>
    <w:lvl w:ilvl="8" w:tplc="0413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EF07E8C"/>
    <w:multiLevelType w:val="hybridMultilevel"/>
    <w:tmpl w:val="4D2E33D0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6"/>
    <w:rsid w:val="000017EB"/>
    <w:rsid w:val="000446B1"/>
    <w:rsid w:val="000C31AB"/>
    <w:rsid w:val="00154493"/>
    <w:rsid w:val="00196596"/>
    <w:rsid w:val="001C17C6"/>
    <w:rsid w:val="001E0A52"/>
    <w:rsid w:val="00220E76"/>
    <w:rsid w:val="00261ADF"/>
    <w:rsid w:val="00341455"/>
    <w:rsid w:val="003538BD"/>
    <w:rsid w:val="003A7457"/>
    <w:rsid w:val="003F37DC"/>
    <w:rsid w:val="00425E13"/>
    <w:rsid w:val="00433A02"/>
    <w:rsid w:val="00442683"/>
    <w:rsid w:val="00467228"/>
    <w:rsid w:val="00490E7E"/>
    <w:rsid w:val="004A4349"/>
    <w:rsid w:val="00512499"/>
    <w:rsid w:val="00574C95"/>
    <w:rsid w:val="00582393"/>
    <w:rsid w:val="00585250"/>
    <w:rsid w:val="00597541"/>
    <w:rsid w:val="00626EC2"/>
    <w:rsid w:val="00627B87"/>
    <w:rsid w:val="00650E08"/>
    <w:rsid w:val="00671806"/>
    <w:rsid w:val="00672A7F"/>
    <w:rsid w:val="006B77A6"/>
    <w:rsid w:val="006C4274"/>
    <w:rsid w:val="006D6AA3"/>
    <w:rsid w:val="006F20F0"/>
    <w:rsid w:val="00700538"/>
    <w:rsid w:val="0070333E"/>
    <w:rsid w:val="00705694"/>
    <w:rsid w:val="0071703D"/>
    <w:rsid w:val="007A43D5"/>
    <w:rsid w:val="007D0669"/>
    <w:rsid w:val="007E4C77"/>
    <w:rsid w:val="0080394B"/>
    <w:rsid w:val="00883218"/>
    <w:rsid w:val="008A131D"/>
    <w:rsid w:val="009277D6"/>
    <w:rsid w:val="00931E15"/>
    <w:rsid w:val="00932283"/>
    <w:rsid w:val="00941C9C"/>
    <w:rsid w:val="0094371F"/>
    <w:rsid w:val="00963C2B"/>
    <w:rsid w:val="009D73E9"/>
    <w:rsid w:val="009F363A"/>
    <w:rsid w:val="00A0393D"/>
    <w:rsid w:val="00A10AC6"/>
    <w:rsid w:val="00AC70BE"/>
    <w:rsid w:val="00B62F37"/>
    <w:rsid w:val="00BB15AF"/>
    <w:rsid w:val="00C30D61"/>
    <w:rsid w:val="00C40CEF"/>
    <w:rsid w:val="00C40F98"/>
    <w:rsid w:val="00C66432"/>
    <w:rsid w:val="00C814B1"/>
    <w:rsid w:val="00CD763E"/>
    <w:rsid w:val="00D414F9"/>
    <w:rsid w:val="00D46D2B"/>
    <w:rsid w:val="00D63F1B"/>
    <w:rsid w:val="00D84B15"/>
    <w:rsid w:val="00DA196C"/>
    <w:rsid w:val="00DB4039"/>
    <w:rsid w:val="00DC25E0"/>
    <w:rsid w:val="00DD55CB"/>
    <w:rsid w:val="00DE6047"/>
    <w:rsid w:val="00E04D6F"/>
    <w:rsid w:val="00E354FA"/>
    <w:rsid w:val="00E43856"/>
    <w:rsid w:val="00E63FD4"/>
    <w:rsid w:val="00ED47B1"/>
    <w:rsid w:val="00EF68F8"/>
    <w:rsid w:val="00F25255"/>
    <w:rsid w:val="00F615FF"/>
    <w:rsid w:val="00F8485F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039"/>
    <w:pPr>
      <w:spacing w:before="0" w:after="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664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64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643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643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643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6643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6643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6432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643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4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C66432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6432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643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643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643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664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643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64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643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C66432"/>
    <w:rPr>
      <w:b/>
      <w:bCs/>
    </w:rPr>
  </w:style>
  <w:style w:type="character" w:styleId="Nadruk">
    <w:name w:val="Emphasis"/>
    <w:uiPriority w:val="20"/>
    <w:qFormat/>
    <w:rsid w:val="00C66432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C66432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66432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C6643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6643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6643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6643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643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C66432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C66432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C66432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C66432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C6643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6432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6718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E63FD4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B77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77A6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7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77A6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039"/>
    <w:pPr>
      <w:spacing w:before="0" w:after="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664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64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643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643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643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6643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6643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6432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643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4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C66432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6432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643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643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643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664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643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64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643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C66432"/>
    <w:rPr>
      <w:b/>
      <w:bCs/>
    </w:rPr>
  </w:style>
  <w:style w:type="character" w:styleId="Nadruk">
    <w:name w:val="Emphasis"/>
    <w:uiPriority w:val="20"/>
    <w:qFormat/>
    <w:rsid w:val="00C66432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C66432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66432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C6643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6643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6643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6643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643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C66432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C66432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C66432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C66432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C6643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6432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6718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E63FD4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B77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77A6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7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77A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51B9-1171-449D-A807-91DAD35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2CDEA8F1</Template>
  <TotalTime>183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Speksnijder</dc:creator>
  <cp:lastModifiedBy>Eilering-Lugtenburg, Antoinette</cp:lastModifiedBy>
  <cp:revision>8</cp:revision>
  <dcterms:created xsi:type="dcterms:W3CDTF">2017-06-29T08:20:00Z</dcterms:created>
  <dcterms:modified xsi:type="dcterms:W3CDTF">2017-06-29T14:06:00Z</dcterms:modified>
</cp:coreProperties>
</file>